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6034A9B2"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C436D3">
        <w:rPr>
          <w:rStyle w:val="Strong"/>
          <w:b/>
          <w:bCs w:val="0"/>
          <w:sz w:val="24"/>
          <w:szCs w:val="24"/>
        </w:rPr>
        <w:t>15-G001-23</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113E79" w:rsidRDefault="00DE3F38" w:rsidP="006E17EC">
            <w:pPr>
              <w:pStyle w:val="TableContents"/>
              <w:rPr>
                <w:rFonts w:asciiTheme="minorHAnsi" w:hAnsiTheme="minorHAnsi"/>
                <w:sz w:val="22"/>
                <w:szCs w:val="22"/>
                <w:lang w:eastAsia="en-US"/>
              </w:rPr>
            </w:pPr>
            <w:r w:rsidRPr="00113E79">
              <w:rPr>
                <w:rFonts w:asciiTheme="minorHAnsi" w:hAnsiTheme="minorHAnsi"/>
                <w:sz w:val="22"/>
                <w:szCs w:val="22"/>
                <w:lang w:eastAsia="en-US"/>
              </w:rPr>
              <w:t xml:space="preserve">Firm/consortium’s experience and reputation </w:t>
            </w:r>
            <w:r w:rsidR="00B52A14" w:rsidRPr="00113E79">
              <w:rPr>
                <w:rFonts w:asciiTheme="minorHAnsi" w:hAnsiTheme="minorHAnsi"/>
                <w:sz w:val="22"/>
                <w:szCs w:val="22"/>
                <w:lang w:eastAsia="en-US"/>
              </w:rPr>
              <w:t>with</w:t>
            </w:r>
            <w:r w:rsidRPr="00113E79">
              <w:rPr>
                <w:rFonts w:asciiTheme="minorHAnsi" w:hAnsiTheme="minorHAnsi"/>
                <w:sz w:val="22"/>
                <w:szCs w:val="22"/>
                <w:lang w:eastAsia="en-US"/>
              </w:rPr>
              <w:t xml:space="preserve"> similar </w:t>
            </w:r>
            <w:r w:rsidR="00AD3DBB" w:rsidRPr="00113E79">
              <w:rPr>
                <w:rFonts w:asciiTheme="minorHAnsi" w:hAnsiTheme="minorHAnsi"/>
                <w:sz w:val="22"/>
                <w:szCs w:val="22"/>
                <w:lang w:eastAsia="en-US"/>
              </w:rPr>
              <w:t>supply of Goods</w:t>
            </w:r>
          </w:p>
        </w:tc>
        <w:tc>
          <w:tcPr>
            <w:tcW w:w="5367" w:type="dxa"/>
            <w:shd w:val="clear" w:color="auto" w:fill="auto"/>
          </w:tcPr>
          <w:p w14:paraId="4DD03075" w14:textId="21E1B250" w:rsidR="006E17EC" w:rsidRDefault="00D36B1F" w:rsidP="00113E79">
            <w:pPr>
              <w:pStyle w:val="TableContents"/>
              <w:numPr>
                <w:ilvl w:val="0"/>
                <w:numId w:val="9"/>
              </w:numPr>
              <w:rPr>
                <w:rFonts w:asciiTheme="minorHAnsi" w:hAnsiTheme="minorHAnsi"/>
                <w:sz w:val="22"/>
                <w:szCs w:val="22"/>
              </w:rPr>
            </w:pPr>
            <w:r>
              <w:rPr>
                <w:rFonts w:asciiTheme="minorHAnsi" w:hAnsiTheme="minorHAnsi"/>
                <w:sz w:val="22"/>
                <w:szCs w:val="22"/>
              </w:rPr>
              <w:t>1 Business Registration Certificate (</w:t>
            </w:r>
            <w:r w:rsidR="00C436D3">
              <w:rPr>
                <w:rFonts w:asciiTheme="minorHAnsi" w:hAnsiTheme="minorHAnsi"/>
                <w:sz w:val="22"/>
                <w:szCs w:val="22"/>
              </w:rPr>
              <w:t>must be certified)</w:t>
            </w:r>
            <w:bookmarkStart w:id="10" w:name="_GoBack"/>
            <w:bookmarkEnd w:id="10"/>
          </w:p>
          <w:p w14:paraId="3D1CEF45" w14:textId="1F2A932C" w:rsidR="00D36B1F" w:rsidRPr="00113E79" w:rsidRDefault="00D36B1F" w:rsidP="00113E79">
            <w:pPr>
              <w:pStyle w:val="TableContents"/>
              <w:numPr>
                <w:ilvl w:val="0"/>
                <w:numId w:val="9"/>
              </w:numPr>
              <w:rPr>
                <w:rFonts w:asciiTheme="minorHAnsi" w:hAnsiTheme="minorHAnsi"/>
                <w:sz w:val="22"/>
                <w:szCs w:val="22"/>
              </w:rPr>
            </w:pPr>
            <w:r>
              <w:rPr>
                <w:rFonts w:asciiTheme="minorHAnsi" w:hAnsiTheme="minorHAnsi"/>
                <w:sz w:val="22"/>
                <w:szCs w:val="22"/>
              </w:rPr>
              <w:t>1 Operation License Certificate (valid).</w:t>
            </w:r>
          </w:p>
          <w:p w14:paraId="3ADDF29E" w14:textId="5D537C76" w:rsidR="00113E79" w:rsidRPr="00113E79" w:rsidRDefault="00D36B1F" w:rsidP="00113E79">
            <w:pPr>
              <w:pStyle w:val="TableContents"/>
              <w:numPr>
                <w:ilvl w:val="0"/>
                <w:numId w:val="9"/>
              </w:numPr>
              <w:rPr>
                <w:rFonts w:asciiTheme="minorHAnsi" w:hAnsiTheme="minorHAnsi"/>
                <w:sz w:val="22"/>
                <w:szCs w:val="22"/>
              </w:rPr>
            </w:pPr>
            <w:r>
              <w:rPr>
                <w:rFonts w:asciiTheme="minorHAnsi" w:hAnsiTheme="minorHAnsi"/>
                <w:sz w:val="22"/>
                <w:szCs w:val="22"/>
              </w:rPr>
              <w:t>2 references showing the previous engagement of a Supplier in providing Hardware Materials to Ministries, SOES or Communities.</w:t>
            </w:r>
          </w:p>
        </w:tc>
        <w:tc>
          <w:tcPr>
            <w:tcW w:w="1360" w:type="dxa"/>
            <w:shd w:val="clear" w:color="auto" w:fill="auto"/>
            <w:vAlign w:val="center"/>
          </w:tcPr>
          <w:p w14:paraId="6FB170A3" w14:textId="0F6CB7BC" w:rsidR="006E17EC" w:rsidRPr="00113E79" w:rsidRDefault="00113E79"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6E17EC" w:rsidRPr="00DF2302" w14:paraId="613F68D6" w14:textId="77777777" w:rsidTr="006E17EC">
        <w:trPr>
          <w:cantSplit/>
          <w:tblHeader/>
        </w:trPr>
        <w:tc>
          <w:tcPr>
            <w:tcW w:w="2430" w:type="dxa"/>
            <w:shd w:val="clear" w:color="auto" w:fill="auto"/>
            <w:vAlign w:val="center"/>
          </w:tcPr>
          <w:p w14:paraId="44102FCB" w14:textId="042BED8D" w:rsidR="00F14020" w:rsidRPr="00113E79" w:rsidRDefault="00AD3DBB" w:rsidP="006E17EC">
            <w:pPr>
              <w:pStyle w:val="TableContents"/>
              <w:rPr>
                <w:rFonts w:asciiTheme="minorHAnsi" w:hAnsiTheme="minorHAnsi"/>
                <w:sz w:val="22"/>
                <w:szCs w:val="22"/>
                <w:lang w:eastAsia="en-US"/>
              </w:rPr>
            </w:pPr>
            <w:r w:rsidRPr="00113E79">
              <w:rPr>
                <w:rFonts w:asciiTheme="minorHAnsi" w:hAnsiTheme="minorHAnsi"/>
                <w:sz w:val="22"/>
                <w:szCs w:val="22"/>
                <w:lang w:eastAsia="en-US"/>
              </w:rPr>
              <w:t>Delivery time</w:t>
            </w:r>
          </w:p>
        </w:tc>
        <w:tc>
          <w:tcPr>
            <w:tcW w:w="5367" w:type="dxa"/>
            <w:shd w:val="clear" w:color="auto" w:fill="auto"/>
          </w:tcPr>
          <w:p w14:paraId="4BA71FA2" w14:textId="28C97BDC" w:rsidR="006E17EC" w:rsidRPr="00113E79" w:rsidRDefault="00D36B1F" w:rsidP="00125007">
            <w:pPr>
              <w:pStyle w:val="TableContents"/>
              <w:numPr>
                <w:ilvl w:val="0"/>
                <w:numId w:val="9"/>
              </w:numPr>
              <w:rPr>
                <w:rFonts w:asciiTheme="minorHAnsi" w:hAnsiTheme="minorHAnsi"/>
                <w:sz w:val="22"/>
                <w:szCs w:val="22"/>
              </w:rPr>
            </w:pPr>
            <w:r>
              <w:rPr>
                <w:rFonts w:asciiTheme="minorHAnsi" w:hAnsiTheme="minorHAnsi"/>
                <w:sz w:val="22"/>
                <w:szCs w:val="22"/>
              </w:rPr>
              <w:t xml:space="preserve">60 calendar days and materials should be arrived at the project site on the first week </w:t>
            </w:r>
            <w:r w:rsidR="00125007">
              <w:rPr>
                <w:rFonts w:asciiTheme="minorHAnsi" w:hAnsiTheme="minorHAnsi"/>
                <w:sz w:val="22"/>
                <w:szCs w:val="22"/>
              </w:rPr>
              <w:t>April 2024</w:t>
            </w:r>
            <w:r>
              <w:rPr>
                <w:rFonts w:asciiTheme="minorHAnsi" w:hAnsiTheme="minorHAnsi"/>
                <w:sz w:val="22"/>
                <w:szCs w:val="22"/>
              </w:rPr>
              <w:t>.</w:t>
            </w:r>
          </w:p>
        </w:tc>
        <w:tc>
          <w:tcPr>
            <w:tcW w:w="1360" w:type="dxa"/>
            <w:shd w:val="clear" w:color="auto" w:fill="auto"/>
            <w:vAlign w:val="center"/>
          </w:tcPr>
          <w:p w14:paraId="657554B4" w14:textId="1CD9B586" w:rsidR="006E17EC" w:rsidRPr="00113E79" w:rsidRDefault="00113E79"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6E17EC" w:rsidRPr="00DF2302" w14:paraId="7395E14D" w14:textId="77777777" w:rsidTr="006E17EC">
        <w:trPr>
          <w:cantSplit/>
          <w:tblHeader/>
        </w:trPr>
        <w:tc>
          <w:tcPr>
            <w:tcW w:w="2430" w:type="dxa"/>
            <w:shd w:val="clear" w:color="auto" w:fill="auto"/>
            <w:vAlign w:val="center"/>
          </w:tcPr>
          <w:p w14:paraId="58A5C5B6" w14:textId="2635324A" w:rsidR="006E17EC" w:rsidRPr="00113E79" w:rsidRDefault="00113E79" w:rsidP="006E17EC">
            <w:pPr>
              <w:pStyle w:val="TableContents"/>
              <w:rPr>
                <w:rFonts w:asciiTheme="minorHAnsi" w:hAnsiTheme="minorHAnsi"/>
                <w:sz w:val="22"/>
                <w:szCs w:val="22"/>
                <w:lang w:eastAsia="en-US"/>
              </w:rPr>
            </w:pPr>
            <w:r>
              <w:rPr>
                <w:rFonts w:asciiTheme="minorHAnsi" w:hAnsiTheme="minorHAnsi"/>
                <w:sz w:val="22"/>
                <w:szCs w:val="22"/>
                <w:lang w:eastAsia="en-US"/>
              </w:rPr>
              <w:t>Specification</w:t>
            </w:r>
          </w:p>
        </w:tc>
        <w:tc>
          <w:tcPr>
            <w:tcW w:w="5367" w:type="dxa"/>
            <w:shd w:val="clear" w:color="auto" w:fill="auto"/>
          </w:tcPr>
          <w:p w14:paraId="45186F1C" w14:textId="61D05FF6" w:rsidR="006E17EC" w:rsidRDefault="00113E79" w:rsidP="00113E79">
            <w:pPr>
              <w:pStyle w:val="TableContents"/>
              <w:numPr>
                <w:ilvl w:val="0"/>
                <w:numId w:val="9"/>
              </w:numPr>
              <w:rPr>
                <w:rFonts w:asciiTheme="minorHAnsi" w:hAnsiTheme="minorHAnsi"/>
                <w:sz w:val="22"/>
                <w:szCs w:val="22"/>
              </w:rPr>
            </w:pPr>
            <w:r>
              <w:rPr>
                <w:rFonts w:asciiTheme="minorHAnsi" w:hAnsiTheme="minorHAnsi"/>
                <w:sz w:val="22"/>
                <w:szCs w:val="22"/>
              </w:rPr>
              <w:t>Technical requirements of the materials must comply to</w:t>
            </w:r>
            <w:r w:rsidR="00F14020">
              <w:rPr>
                <w:rFonts w:asciiTheme="minorHAnsi" w:hAnsiTheme="minorHAnsi"/>
                <w:sz w:val="22"/>
                <w:szCs w:val="22"/>
              </w:rPr>
              <w:t xml:space="preserve"> the</w:t>
            </w:r>
            <w:r>
              <w:rPr>
                <w:rFonts w:asciiTheme="minorHAnsi" w:hAnsiTheme="minorHAnsi"/>
                <w:sz w:val="22"/>
                <w:szCs w:val="22"/>
              </w:rPr>
              <w:t xml:space="preserve"> Specific</w:t>
            </w:r>
            <w:r w:rsidR="00F14020">
              <w:rPr>
                <w:rFonts w:asciiTheme="minorHAnsi" w:hAnsiTheme="minorHAnsi"/>
                <w:sz w:val="22"/>
                <w:szCs w:val="22"/>
              </w:rPr>
              <w:t>ation of goods provided.</w:t>
            </w:r>
          </w:p>
          <w:p w14:paraId="23A8F695" w14:textId="25D8CA8C" w:rsidR="00113E79" w:rsidRPr="00F14020" w:rsidRDefault="00113E79" w:rsidP="00F14020">
            <w:pPr>
              <w:pStyle w:val="TableContents"/>
              <w:numPr>
                <w:ilvl w:val="0"/>
                <w:numId w:val="9"/>
              </w:numPr>
              <w:rPr>
                <w:rFonts w:asciiTheme="minorHAnsi" w:hAnsiTheme="minorHAnsi"/>
                <w:sz w:val="22"/>
                <w:szCs w:val="22"/>
              </w:rPr>
            </w:pPr>
            <w:r>
              <w:rPr>
                <w:rFonts w:asciiTheme="minorHAnsi" w:hAnsiTheme="minorHAnsi"/>
                <w:sz w:val="22"/>
                <w:szCs w:val="22"/>
              </w:rPr>
              <w:t>Detailed and Completed Quotations.</w:t>
            </w:r>
          </w:p>
        </w:tc>
        <w:tc>
          <w:tcPr>
            <w:tcW w:w="1360" w:type="dxa"/>
            <w:shd w:val="clear" w:color="auto" w:fill="auto"/>
            <w:vAlign w:val="center"/>
          </w:tcPr>
          <w:p w14:paraId="240875A4" w14:textId="360FDB11" w:rsidR="006E17EC" w:rsidRPr="00113E79" w:rsidRDefault="00F1402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6</w:t>
            </w:r>
            <w:r w:rsidR="00113E79">
              <w:rPr>
                <w:rFonts w:asciiTheme="minorHAnsi" w:hAnsiTheme="minorHAnsi"/>
                <w:sz w:val="22"/>
                <w:szCs w:val="22"/>
                <w:lang w:eastAsia="en-US"/>
              </w:rPr>
              <w:t>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(ts * tw) + (</w:t>
      </w:r>
      <w:r w:rsidR="00B57649">
        <w:rPr>
          <w:rFonts w:ascii="Calibri" w:hAnsi="Calibri"/>
          <w:b/>
          <w:lang w:val="en-GB"/>
        </w:rPr>
        <w:t>(</w:t>
      </w:r>
      <w:r w:rsidRPr="00DF2302">
        <w:rPr>
          <w:rFonts w:ascii="Calibri" w:hAnsi="Calibri"/>
          <w:b/>
          <w:lang w:val="en-GB"/>
        </w:rPr>
        <w:t>tc / lc</w:t>
      </w:r>
      <w:r w:rsidR="00B57649">
        <w:rPr>
          <w:rFonts w:ascii="Calibri" w:hAnsi="Calibri"/>
          <w:b/>
          <w:lang w:val="en-GB"/>
        </w:rPr>
        <w:t>) * fw</w:t>
      </w:r>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lastRenderedPageBreak/>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6"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6"/>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r>
        <w:rPr>
          <w:rFonts w:ascii="Calibri" w:hAnsi="Calibri"/>
          <w:sz w:val="20"/>
          <w:szCs w:val="20"/>
          <w:lang w:val="en-GB"/>
        </w:rPr>
        <w:t>fw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1CF6EE" w14:textId="77777777" w:rsidR="0035568E" w:rsidRDefault="0035568E">
      <w:r>
        <w:separator/>
      </w:r>
    </w:p>
  </w:endnote>
  <w:endnote w:type="continuationSeparator" w:id="0">
    <w:p w14:paraId="5E8699DB" w14:textId="77777777" w:rsidR="0035568E" w:rsidRDefault="00355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48BF924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125007" w:rsidRPr="00125007">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125007" w:rsidRPr="00125007">
      <w:rPr>
        <w:noProof/>
        <w:color w:val="17365D" w:themeColor="text2" w:themeShade="BF"/>
        <w:lang w:val="sv-SE"/>
      </w:rPr>
      <w:t>4</w:t>
    </w:r>
    <w:r>
      <w:rPr>
        <w:color w:val="17365D" w:themeColor="text2" w:themeShade="BF"/>
      </w:rPr>
      <w:fldChar w:fldCharType="end"/>
    </w:r>
  </w:p>
  <w:p w14:paraId="213B5D63" w14:textId="29ED08E1" w:rsidR="00D15CF2" w:rsidRDefault="004878F3" w:rsidP="004878F3">
    <w:pPr>
      <w:pStyle w:val="Footer"/>
    </w:pPr>
    <w:r>
      <w:fldChar w:fldCharType="begin"/>
    </w:r>
    <w:r>
      <w:instrText xml:space="preserve"> DATE \@ "yyyy-MM-dd" </w:instrText>
    </w:r>
    <w:r>
      <w:fldChar w:fldCharType="separate"/>
    </w:r>
    <w:r w:rsidR="00C436D3">
      <w:rPr>
        <w:noProof/>
      </w:rPr>
      <w:t>2023-10-27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403344" w14:textId="77777777" w:rsidR="0035568E" w:rsidRDefault="0035568E">
      <w:r>
        <w:separator/>
      </w:r>
    </w:p>
  </w:footnote>
  <w:footnote w:type="continuationSeparator" w:id="0">
    <w:p w14:paraId="2CCEF5E3" w14:textId="77777777" w:rsidR="0035568E" w:rsidRDefault="003556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766D6" w14:textId="6A08EE23"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w:t>
    </w:r>
    <w:r w:rsidR="00C436D3">
      <w:rPr>
        <w:rStyle w:val="Strong"/>
      </w:rPr>
      <w:t>15-G001-23</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67D682E"/>
    <w:multiLevelType w:val="hybridMultilevel"/>
    <w:tmpl w:val="760C14D2"/>
    <w:lvl w:ilvl="0" w:tplc="841CBBDC">
      <w:numFmt w:val="bullet"/>
      <w:lvlText w:val="-"/>
      <w:lvlJc w:val="left"/>
      <w:pPr>
        <w:ind w:left="720" w:hanging="360"/>
      </w:pPr>
      <w:rPr>
        <w:rFonts w:ascii="Calibri" w:eastAsia="Malgun Gothic"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3"/>
  </w:num>
  <w:num w:numId="2">
    <w:abstractNumId w:val="8"/>
  </w:num>
  <w:num w:numId="3">
    <w:abstractNumId w:val="7"/>
  </w:num>
  <w:num w:numId="4">
    <w:abstractNumId w:val="6"/>
  </w:num>
  <w:num w:numId="5">
    <w:abstractNumId w:val="0"/>
  </w:num>
  <w:num w:numId="6">
    <w:abstractNumId w:val="5"/>
  </w:num>
  <w:num w:numId="7">
    <w:abstractNumId w:val="1"/>
  </w:num>
  <w:num w:numId="8">
    <w:abstractNumId w:val="4"/>
  </w:num>
  <w:num w:numId="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E79"/>
    <w:rsid w:val="00114C10"/>
    <w:rsid w:val="001161C7"/>
    <w:rsid w:val="00116BCC"/>
    <w:rsid w:val="00117211"/>
    <w:rsid w:val="00117419"/>
    <w:rsid w:val="001217C3"/>
    <w:rsid w:val="00121981"/>
    <w:rsid w:val="001222D6"/>
    <w:rsid w:val="001243D1"/>
    <w:rsid w:val="00124CBA"/>
    <w:rsid w:val="00125007"/>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68E"/>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27A78"/>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847"/>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D77FB"/>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369D7"/>
    <w:rsid w:val="00C411FE"/>
    <w:rsid w:val="00C422A8"/>
    <w:rsid w:val="00C436D3"/>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0B2"/>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B1F"/>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020"/>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3A52DB5-F644-4A9E-8F98-02F39ECEE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1</Pages>
  <Words>721</Words>
  <Characters>4116</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4828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5</cp:revision>
  <cp:lastPrinted>2016-10-18T02:57:00Z</cp:lastPrinted>
  <dcterms:created xsi:type="dcterms:W3CDTF">2023-10-26T05:03:00Z</dcterms:created>
  <dcterms:modified xsi:type="dcterms:W3CDTF">2023-10-26T22:08:00Z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